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A55977" w:rsidTr="00E751F5">
        <w:tc>
          <w:tcPr>
            <w:tcW w:w="7792" w:type="dxa"/>
          </w:tcPr>
          <w:p w:rsidR="00A55977" w:rsidRPr="005C7B29" w:rsidRDefault="00A55977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Patientenaufnahmeblatt Hygiene</w:t>
            </w:r>
            <w:bookmarkStart w:id="0" w:name="_GoBack"/>
            <w:bookmarkEnd w:id="0"/>
          </w:p>
        </w:tc>
        <w:tc>
          <w:tcPr>
            <w:tcW w:w="1270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01R3</w:t>
            </w:r>
          </w:p>
        </w:tc>
      </w:tr>
    </w:tbl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55977" w:rsidTr="00E751F5">
        <w:tc>
          <w:tcPr>
            <w:tcW w:w="562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A55977" w:rsidRDefault="00A55977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zum Aufnahmebogen Pflegeunternehmen</w:t>
            </w:r>
          </w:p>
        </w:tc>
      </w:tr>
    </w:tbl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</w:p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Patientendaten (EU-DSGVO Datenschutzbestimmungen beachten)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55977" w:rsidTr="00E751F5">
        <w:tc>
          <w:tcPr>
            <w:tcW w:w="2972" w:type="dxa"/>
          </w:tcPr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:rsidR="00A55977" w:rsidRDefault="00A55977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977" w:rsidTr="00E751F5">
        <w:tc>
          <w:tcPr>
            <w:tcW w:w="2972" w:type="dxa"/>
          </w:tcPr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:rsidR="00A55977" w:rsidRDefault="00A55977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977" w:rsidTr="00E751F5">
        <w:tc>
          <w:tcPr>
            <w:tcW w:w="2972" w:type="dxa"/>
          </w:tcPr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</w:t>
            </w:r>
          </w:p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:rsidR="00A55977" w:rsidRDefault="00A55977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</w:p>
    <w:p w:rsidR="00A55977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Erfassung infektiöser Erkrankungen zur Gefährdungsbeurteilung nach § 36 IfSG, RKI, TRBA 250 und BioStoffV.</w:t>
      </w:r>
    </w:p>
    <w:p w:rsidR="00A55977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A55977" w:rsidTr="00E751F5">
        <w:tc>
          <w:tcPr>
            <w:tcW w:w="704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8" w:type="dxa"/>
          </w:tcPr>
          <w:p w:rsidR="00A55977" w:rsidRDefault="00A55977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liegen keine bekannten Erkrankungen, oder Infektionserkrankungen vor</w:t>
            </w:r>
          </w:p>
        </w:tc>
      </w:tr>
    </w:tbl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Keine weiteren Maßnahmen erforderlich.</w:t>
      </w:r>
    </w:p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</w:p>
    <w:p w:rsidR="00A55977" w:rsidRPr="00D77869" w:rsidRDefault="00A55977" w:rsidP="00A55977">
      <w:pPr>
        <w:spacing w:after="0"/>
        <w:rPr>
          <w:rFonts w:ascii="Arial" w:hAnsi="Arial" w:cs="Arial"/>
          <w:b/>
          <w:sz w:val="24"/>
          <w:szCs w:val="24"/>
        </w:rPr>
      </w:pPr>
      <w:r w:rsidRPr="00D77869">
        <w:rPr>
          <w:rFonts w:ascii="Arial" w:hAnsi="Arial" w:cs="Arial"/>
          <w:b/>
          <w:sz w:val="24"/>
          <w:szCs w:val="24"/>
        </w:rPr>
        <w:t>Risikogruppe 2 – entspricht Schutzstufe 2:</w:t>
      </w:r>
    </w:p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</w:p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  <w:r w:rsidRPr="00D77869">
        <w:rPr>
          <w:rFonts w:ascii="Arial" w:hAnsi="Arial" w:cs="Arial"/>
          <w:sz w:val="24"/>
          <w:szCs w:val="24"/>
        </w:rPr>
        <w:t>Biologische Arbeitsstoffe, die eine Krankheit beim Menschen hervorrufen können und eine Gefahr für die Beschäftigten darstellen können; eine Verbreitung des Stoffes in der Bevölkerung ist unwahrscheinlich. Eine wirksame Vorbeugung oder Behandlung ist normalerweise möglich.</w:t>
      </w:r>
    </w:p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A55977" w:rsidRPr="00CC32FB" w:rsidTr="00E751F5">
        <w:tc>
          <w:tcPr>
            <w:tcW w:w="1271" w:type="dxa"/>
          </w:tcPr>
          <w:p w:rsidR="00A55977" w:rsidRPr="00CC32FB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7796" w:type="dxa"/>
          </w:tcPr>
          <w:p w:rsidR="00A55977" w:rsidRPr="00CC32FB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Stuhlinkontinenz 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734C44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734C44">
              <w:rPr>
                <w:rFonts w:ascii="Arial" w:eastAsia="Arial" w:hAnsi="Arial" w:cs="Arial"/>
                <w:sz w:val="24"/>
                <w:szCs w:val="24"/>
              </w:rPr>
              <w:t>Mangelnde Intimhygiene im Rahmen der Körperpflege (Grundpflege)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734C44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Wundinfektion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86BB3">
              <w:rPr>
                <w:rFonts w:ascii="Arial" w:eastAsia="Arial" w:hAnsi="Arial" w:cs="Arial"/>
                <w:sz w:val="24"/>
                <w:szCs w:val="24"/>
              </w:rPr>
              <w:t xml:space="preserve">Insulinpflichtiger Diabetes mellitus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ohne Infektion </w:t>
            </w:r>
            <w:r w:rsidRPr="00286BB3">
              <w:rPr>
                <w:rFonts w:ascii="Arial" w:eastAsia="Arial" w:hAnsi="Arial" w:cs="Arial"/>
                <w:sz w:val="24"/>
                <w:szCs w:val="24"/>
              </w:rPr>
              <w:t>der Injektionsstelle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86BB3">
              <w:rPr>
                <w:rFonts w:ascii="Arial" w:eastAsia="Arial" w:hAnsi="Arial" w:cs="Arial"/>
                <w:sz w:val="24"/>
                <w:szCs w:val="24"/>
              </w:rPr>
              <w:t>Insulinpflich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tiger Diabetes mellitus </w:t>
            </w:r>
            <w:r w:rsidRPr="00286BB3">
              <w:rPr>
                <w:rFonts w:ascii="Arial" w:eastAsia="Arial" w:hAnsi="Arial" w:cs="Arial"/>
                <w:sz w:val="24"/>
                <w:szCs w:val="24"/>
              </w:rPr>
              <w:t>Lokale Infektion der Injektionsstelle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34C44">
              <w:rPr>
                <w:rFonts w:ascii="Arial" w:eastAsia="Arial" w:hAnsi="Arial" w:cs="Arial"/>
                <w:sz w:val="24"/>
                <w:szCs w:val="24"/>
              </w:rPr>
              <w:t>Transu</w:t>
            </w:r>
            <w:r>
              <w:rPr>
                <w:rFonts w:ascii="Arial" w:eastAsia="Arial" w:hAnsi="Arial" w:cs="Arial"/>
                <w:sz w:val="24"/>
                <w:szCs w:val="24"/>
              </w:rPr>
              <w:t>rethraler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Blasenverweilkatheter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72BC3">
              <w:rPr>
                <w:rFonts w:ascii="Arial" w:eastAsia="Arial" w:hAnsi="Arial" w:cs="Arial"/>
                <w:sz w:val="24"/>
                <w:szCs w:val="24"/>
              </w:rPr>
              <w:t>Suprapubischer</w:t>
            </w:r>
            <w:proofErr w:type="spellEnd"/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 Blasenverweilkathete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PEG-Anlage </w:t>
            </w:r>
            <w:r w:rsidRPr="00286BB3">
              <w:rPr>
                <w:rFonts w:ascii="Arial" w:eastAsia="Arial" w:hAnsi="Arial" w:cs="Arial"/>
                <w:sz w:val="24"/>
                <w:szCs w:val="24"/>
              </w:rPr>
              <w:t>Infektion der Einstichstelle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Applikation von </w:t>
            </w:r>
            <w:proofErr w:type="spellStart"/>
            <w:r w:rsidRPr="00972BC3">
              <w:rPr>
                <w:rFonts w:ascii="Arial" w:eastAsia="Arial" w:hAnsi="Arial" w:cs="Arial"/>
                <w:sz w:val="24"/>
                <w:szCs w:val="24"/>
              </w:rPr>
              <w:t>Sondenkost</w:t>
            </w:r>
            <w:proofErr w:type="spellEnd"/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 via PEG-Sonde 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972BC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PEG-Sonde </w:t>
            </w:r>
            <w:r w:rsidRPr="00286BB3">
              <w:rPr>
                <w:rFonts w:ascii="Arial" w:eastAsia="Arial" w:hAnsi="Arial" w:cs="Arial"/>
                <w:sz w:val="24"/>
                <w:szCs w:val="24"/>
              </w:rPr>
              <w:t>Aspirationspneumonie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972BC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86BB3">
              <w:rPr>
                <w:rFonts w:ascii="Arial" w:eastAsia="Arial" w:hAnsi="Arial" w:cs="Arial"/>
                <w:sz w:val="24"/>
                <w:szCs w:val="24"/>
              </w:rPr>
              <w:t>PEG-Sonde Reflux(-</w:t>
            </w:r>
            <w:proofErr w:type="spellStart"/>
            <w:r w:rsidRPr="00286BB3">
              <w:rPr>
                <w:rFonts w:ascii="Arial" w:eastAsia="Arial" w:hAnsi="Arial" w:cs="Arial"/>
                <w:sz w:val="24"/>
                <w:szCs w:val="24"/>
              </w:rPr>
              <w:t>oesophagitis</w:t>
            </w:r>
            <w:proofErr w:type="spellEnd"/>
            <w:r w:rsidRPr="00286BB3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Einliegender Port </w:t>
            </w:r>
            <w:r w:rsidRPr="00286BB3">
              <w:rPr>
                <w:rFonts w:ascii="Arial" w:eastAsia="Arial" w:hAnsi="Arial" w:cs="Arial"/>
                <w:sz w:val="24"/>
                <w:szCs w:val="24"/>
              </w:rPr>
              <w:t>Infektion der Punktionsstelle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72BC3">
              <w:rPr>
                <w:rFonts w:ascii="Arial" w:eastAsia="Arial" w:hAnsi="Arial" w:cs="Arial"/>
                <w:sz w:val="24"/>
                <w:szCs w:val="24"/>
              </w:rPr>
              <w:t>Tracheostoma</w:t>
            </w:r>
            <w:proofErr w:type="spellEnd"/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86BB3">
              <w:rPr>
                <w:rFonts w:ascii="Arial" w:eastAsia="Arial" w:hAnsi="Arial" w:cs="Arial"/>
                <w:sz w:val="24"/>
                <w:szCs w:val="24"/>
              </w:rPr>
              <w:t>Infektion des Stomas, Pneumonie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</w:tcBorders>
          </w:tcPr>
          <w:p w:rsidR="00A55977" w:rsidRPr="00972BC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>Absaugen von 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mwegssekreten </w:t>
            </w:r>
            <w:r w:rsidRPr="00972BC3">
              <w:rPr>
                <w:rFonts w:ascii="Arial" w:eastAsia="Arial" w:hAnsi="Arial" w:cs="Arial"/>
                <w:sz w:val="24"/>
                <w:szCs w:val="24"/>
              </w:rPr>
              <w:t>der Atemweg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Dekubitus, </w:t>
            </w:r>
            <w:r w:rsidRPr="00286BB3">
              <w:rPr>
                <w:rFonts w:ascii="Arial" w:eastAsia="Arial" w:hAnsi="Arial" w:cs="Arial"/>
                <w:sz w:val="24"/>
                <w:szCs w:val="24"/>
              </w:rPr>
              <w:t>Sepsis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286BB3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Chronische Wunden, </w:t>
            </w:r>
            <w:r w:rsidRPr="00286BB3">
              <w:rPr>
                <w:rFonts w:ascii="Arial" w:eastAsia="Arial" w:hAnsi="Arial" w:cs="Arial"/>
                <w:sz w:val="24"/>
                <w:szCs w:val="24"/>
              </w:rPr>
              <w:t>z. B. Ulcus cruris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286BB3">
              <w:rPr>
                <w:rFonts w:ascii="Arial" w:eastAsia="Arial" w:hAnsi="Arial" w:cs="Arial"/>
                <w:sz w:val="24"/>
                <w:szCs w:val="24"/>
              </w:rPr>
              <w:t>Sepsis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632BF6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MRSA , MRGN, </w:t>
            </w:r>
            <w:r w:rsidRPr="00F50BC0">
              <w:rPr>
                <w:rFonts w:ascii="Arial" w:eastAsia="Arial" w:hAnsi="Arial" w:cs="Arial"/>
                <w:sz w:val="24"/>
                <w:szCs w:val="24"/>
              </w:rPr>
              <w:t>ORSA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32BF6">
              <w:rPr>
                <w:rFonts w:ascii="Arial" w:eastAsia="Arial" w:hAnsi="Arial" w:cs="Arial"/>
                <w:sz w:val="24"/>
                <w:szCs w:val="24"/>
              </w:rPr>
              <w:t>Infektionsgef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632BF6">
              <w:rPr>
                <w:rFonts w:ascii="Arial" w:eastAsia="Arial" w:hAnsi="Arial" w:cs="Arial"/>
                <w:sz w:val="24"/>
                <w:szCs w:val="24"/>
              </w:rPr>
              <w:t>hr für weitere Bewohner und MA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F50BC0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F50BC0">
              <w:rPr>
                <w:rFonts w:ascii="Arial" w:eastAsia="Arial" w:hAnsi="Arial" w:cs="Arial"/>
                <w:sz w:val="24"/>
                <w:szCs w:val="24"/>
              </w:rPr>
              <w:t>Legionellen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50BC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0BC0">
              <w:rPr>
                <w:rFonts w:ascii="Arial" w:eastAsia="Arial" w:hAnsi="Arial" w:cs="Arial"/>
                <w:sz w:val="24"/>
                <w:szCs w:val="24"/>
              </w:rPr>
              <w:t>Legionellose</w:t>
            </w:r>
            <w:proofErr w:type="spellEnd"/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F50BC0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 /</w:t>
            </w:r>
            <w:r w:rsidRPr="00F50BC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0BC0">
              <w:rPr>
                <w:rFonts w:ascii="Arial" w:eastAsia="Arial" w:hAnsi="Arial" w:cs="Arial"/>
                <w:sz w:val="24"/>
                <w:szCs w:val="24"/>
              </w:rPr>
              <w:t>Rota</w:t>
            </w:r>
            <w:proofErr w:type="spellEnd"/>
            <w:r w:rsidRPr="00F50BC0">
              <w:rPr>
                <w:rFonts w:ascii="Arial" w:eastAsia="Arial" w:hAnsi="Arial" w:cs="Arial"/>
                <w:sz w:val="24"/>
                <w:szCs w:val="24"/>
              </w:rPr>
              <w:t>-Viren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632BF6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Kontakt mit Salmonellen, </w:t>
            </w:r>
            <w:r w:rsidRPr="00632BF6">
              <w:rPr>
                <w:rFonts w:ascii="Arial" w:eastAsia="Arial" w:hAnsi="Arial" w:cs="Arial"/>
                <w:sz w:val="24"/>
                <w:szCs w:val="24"/>
              </w:rPr>
              <w:t>Salmonellen-Enteritis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</w:tcBorders>
          </w:tcPr>
          <w:p w:rsidR="00A55977" w:rsidRPr="00632BF6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Hepatitis A – B – C; Infektionsgefahr durch Nadelstichverletzungen</w:t>
            </w:r>
          </w:p>
        </w:tc>
      </w:tr>
      <w:tr w:rsidR="00A55977" w:rsidTr="00E751F5">
        <w:tc>
          <w:tcPr>
            <w:tcW w:w="1271" w:type="dxa"/>
          </w:tcPr>
          <w:p w:rsidR="00A55977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</w:tcBorders>
          </w:tcPr>
          <w:p w:rsidR="00A55977" w:rsidRPr="00632BF6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Parasiten; </w:t>
            </w:r>
            <w:r w:rsidRPr="00632BF6">
              <w:rPr>
                <w:rFonts w:ascii="Arial" w:eastAsia="Arial" w:hAnsi="Arial" w:cs="Arial"/>
                <w:sz w:val="24"/>
                <w:szCs w:val="24"/>
              </w:rPr>
              <w:t>Übertragung von Parasiten</w:t>
            </w:r>
          </w:p>
        </w:tc>
      </w:tr>
    </w:tbl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</w:p>
    <w:p w:rsidR="00A55977" w:rsidRPr="00D22C7F" w:rsidRDefault="00A55977" w:rsidP="00A55977">
      <w:pPr>
        <w:spacing w:after="0"/>
        <w:rPr>
          <w:rFonts w:ascii="Arial" w:hAnsi="Arial" w:cs="Arial"/>
          <w:b/>
          <w:sz w:val="24"/>
          <w:szCs w:val="24"/>
        </w:rPr>
      </w:pPr>
      <w:r w:rsidRPr="00D22C7F">
        <w:rPr>
          <w:rFonts w:ascii="Arial" w:hAnsi="Arial" w:cs="Arial"/>
          <w:b/>
          <w:sz w:val="24"/>
          <w:szCs w:val="24"/>
        </w:rPr>
        <w:t>Risikogruppe 3 – entspricht Schutzstufe 3:</w:t>
      </w:r>
    </w:p>
    <w:p w:rsidR="00A55977" w:rsidRPr="00D22C7F" w:rsidRDefault="00A55977" w:rsidP="00A55977">
      <w:pPr>
        <w:spacing w:after="0"/>
        <w:rPr>
          <w:rFonts w:ascii="Arial" w:hAnsi="Arial" w:cs="Arial"/>
          <w:sz w:val="24"/>
          <w:szCs w:val="24"/>
        </w:rPr>
      </w:pPr>
    </w:p>
    <w:p w:rsidR="00A55977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2C7F">
        <w:rPr>
          <w:rFonts w:ascii="Arial" w:hAnsi="Arial" w:cs="Arial"/>
          <w:sz w:val="24"/>
          <w:szCs w:val="24"/>
        </w:rPr>
        <w:t>Biologische Arbeitsstoffe, die eine schwere Krankheit beim Menschen hervorrufen können und eine ernste Gefahr für die Beschäftigten darstellen können; die Gefahr der Verbreitung des Stoffes in der Bevölkerung kann bestehen, doch ist normalerweise eine wirksame Vorbeugung oder Behandlung möglich.</w:t>
      </w:r>
    </w:p>
    <w:p w:rsidR="00A55977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A55977" w:rsidRPr="00D22C7F" w:rsidTr="00E751F5">
        <w:tc>
          <w:tcPr>
            <w:tcW w:w="1271" w:type="dxa"/>
          </w:tcPr>
          <w:p w:rsidR="00A55977" w:rsidRPr="00D22C7F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7796" w:type="dxa"/>
          </w:tcPr>
          <w:p w:rsidR="00A55977" w:rsidRPr="00D22C7F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</w:tr>
      <w:tr w:rsidR="00A55977" w:rsidRPr="00D22C7F" w:rsidTr="00E751F5">
        <w:tc>
          <w:tcPr>
            <w:tcW w:w="1271" w:type="dxa"/>
          </w:tcPr>
          <w:p w:rsidR="00A55977" w:rsidRPr="00D22C7F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632BF6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D22C7F">
              <w:rPr>
                <w:rFonts w:ascii="Arial" w:eastAsia="Arial" w:hAnsi="Arial" w:cs="Arial"/>
                <w:sz w:val="24"/>
                <w:szCs w:val="24"/>
              </w:rPr>
              <w:t xml:space="preserve">HIV </w:t>
            </w:r>
            <w:r>
              <w:rPr>
                <w:rFonts w:ascii="Arial" w:eastAsia="Arial" w:hAnsi="Arial" w:cs="Arial"/>
                <w:sz w:val="24"/>
                <w:szCs w:val="24"/>
              </w:rPr>
              <w:t>Ansteckungsgefahr Nadelstichverletzungen</w:t>
            </w:r>
          </w:p>
        </w:tc>
      </w:tr>
      <w:tr w:rsidR="00A55977" w:rsidRPr="00D22C7F" w:rsidTr="00E751F5">
        <w:tc>
          <w:tcPr>
            <w:tcW w:w="1271" w:type="dxa"/>
          </w:tcPr>
          <w:p w:rsidR="00A55977" w:rsidRPr="00D22C7F" w:rsidRDefault="00A5597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</w:tcPr>
          <w:p w:rsidR="00A55977" w:rsidRPr="00632BF6" w:rsidRDefault="00A55977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D22C7F">
              <w:rPr>
                <w:rFonts w:ascii="Arial" w:eastAsia="Arial" w:hAnsi="Arial" w:cs="Arial"/>
                <w:sz w:val="24"/>
                <w:szCs w:val="24"/>
              </w:rPr>
              <w:t>Tuberkulose (T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bc); </w:t>
            </w:r>
            <w:r w:rsidRPr="00632BF6">
              <w:rPr>
                <w:rFonts w:ascii="Arial" w:eastAsia="Arial" w:hAnsi="Arial" w:cs="Arial"/>
                <w:sz w:val="24"/>
                <w:szCs w:val="24"/>
              </w:rPr>
              <w:t>Übertragung durch Tröpfchen, z. B. Husten</w:t>
            </w:r>
          </w:p>
        </w:tc>
      </w:tr>
    </w:tbl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</w:p>
    <w:p w:rsidR="00A55977" w:rsidRPr="00D22C7F" w:rsidRDefault="00A55977" w:rsidP="00A559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22C7F">
        <w:rPr>
          <w:rFonts w:ascii="Arial" w:hAnsi="Arial" w:cs="Arial"/>
          <w:b/>
          <w:sz w:val="24"/>
          <w:szCs w:val="24"/>
        </w:rPr>
        <w:t>Risikogruppe 4 – entspricht Schutzstufe 4:</w:t>
      </w:r>
    </w:p>
    <w:p w:rsidR="00A55977" w:rsidRPr="00D22C7F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5977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2C7F">
        <w:rPr>
          <w:rFonts w:ascii="Arial" w:hAnsi="Arial" w:cs="Arial"/>
          <w:sz w:val="24"/>
          <w:szCs w:val="24"/>
        </w:rPr>
        <w:t>Biologische Arbeitsstoffe, die eine schwere Krankheit beim Menschen hervorrufen und eine ernste Gefahr für die Beschäftigten darstellen können; die Gefahr der Verbreitung des Stoffes in der Bevölkerung ist unter Umständen groß; normalerweise ist eine wirksame Vorbeugung oder Behandlung nicht möglich.</w:t>
      </w:r>
    </w:p>
    <w:p w:rsidR="00A55977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1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A55977" w:rsidRPr="00D22C7F" w:rsidTr="00E751F5">
        <w:tc>
          <w:tcPr>
            <w:tcW w:w="1271" w:type="dxa"/>
          </w:tcPr>
          <w:p w:rsidR="00A55977" w:rsidRPr="00D22C7F" w:rsidRDefault="00A55977" w:rsidP="00E751F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7796" w:type="dxa"/>
          </w:tcPr>
          <w:p w:rsidR="00A55977" w:rsidRPr="00D22C7F" w:rsidRDefault="00A55977" w:rsidP="00E751F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</w:tr>
      <w:tr w:rsidR="00A55977" w:rsidRPr="00D22C7F" w:rsidTr="00E751F5">
        <w:tc>
          <w:tcPr>
            <w:tcW w:w="1271" w:type="dxa"/>
          </w:tcPr>
          <w:p w:rsidR="00A55977" w:rsidRPr="00D22C7F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A55977" w:rsidRPr="00D22C7F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5977" w:rsidRPr="00D22C7F" w:rsidTr="00E751F5">
        <w:tc>
          <w:tcPr>
            <w:tcW w:w="1271" w:type="dxa"/>
          </w:tcPr>
          <w:p w:rsidR="00A55977" w:rsidRPr="00D22C7F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A55977" w:rsidRPr="00D22C7F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5977" w:rsidRPr="00D22C7F" w:rsidTr="00E751F5">
        <w:tc>
          <w:tcPr>
            <w:tcW w:w="1271" w:type="dxa"/>
          </w:tcPr>
          <w:p w:rsidR="00A55977" w:rsidRPr="00D22C7F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A55977" w:rsidRPr="00D22C7F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5977" w:rsidRPr="00D22C7F" w:rsidTr="00E751F5">
        <w:tc>
          <w:tcPr>
            <w:tcW w:w="1271" w:type="dxa"/>
          </w:tcPr>
          <w:p w:rsidR="00A55977" w:rsidRPr="00D22C7F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A55977" w:rsidRPr="00D22C7F" w:rsidRDefault="00A55977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55977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55977" w:rsidTr="00E751F5">
        <w:tc>
          <w:tcPr>
            <w:tcW w:w="9062" w:type="dxa"/>
            <w:gridSpan w:val="2"/>
          </w:tcPr>
          <w:p w:rsidR="00A55977" w:rsidRPr="00E1226A" w:rsidRDefault="00A55977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226A">
              <w:rPr>
                <w:rFonts w:ascii="Arial" w:hAnsi="Arial" w:cs="Arial"/>
                <w:b/>
                <w:sz w:val="24"/>
                <w:szCs w:val="24"/>
              </w:rPr>
              <w:t xml:space="preserve">Unterzeichnungsfeld </w:t>
            </w:r>
            <w:r>
              <w:rPr>
                <w:rFonts w:ascii="Arial" w:hAnsi="Arial" w:cs="Arial"/>
                <w:b/>
                <w:sz w:val="24"/>
                <w:szCs w:val="24"/>
              </w:rPr>
              <w:t>Fachkraft</w:t>
            </w:r>
          </w:p>
        </w:tc>
      </w:tr>
      <w:tr w:rsidR="00A55977" w:rsidTr="00E751F5">
        <w:tc>
          <w:tcPr>
            <w:tcW w:w="2689" w:type="dxa"/>
          </w:tcPr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373" w:type="dxa"/>
          </w:tcPr>
          <w:p w:rsidR="00A55977" w:rsidRDefault="00A55977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977" w:rsidTr="00E751F5">
        <w:tc>
          <w:tcPr>
            <w:tcW w:w="2689" w:type="dxa"/>
          </w:tcPr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373" w:type="dxa"/>
          </w:tcPr>
          <w:p w:rsidR="00A55977" w:rsidRDefault="00A55977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977" w:rsidTr="00E751F5">
        <w:tc>
          <w:tcPr>
            <w:tcW w:w="2689" w:type="dxa"/>
          </w:tcPr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373" w:type="dxa"/>
          </w:tcPr>
          <w:p w:rsidR="00A55977" w:rsidRDefault="00A55977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5977" w:rsidRDefault="00A55977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5977" w:rsidRDefault="00A55977" w:rsidP="00A55977">
      <w:pPr>
        <w:spacing w:after="0"/>
        <w:rPr>
          <w:rFonts w:ascii="Arial" w:hAnsi="Arial" w:cs="Arial"/>
          <w:sz w:val="24"/>
          <w:szCs w:val="24"/>
        </w:rPr>
      </w:pPr>
    </w:p>
    <w:p w:rsidR="00A55977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Auswertung des</w:t>
      </w:r>
      <w:r w:rsidRPr="00CA78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Patientenaufnahmeblatt Hygiene erfolgt nach Grundlage der </w:t>
      </w:r>
      <w:r w:rsidRPr="00CA7864">
        <w:rPr>
          <w:rFonts w:ascii="Arial" w:hAnsi="Arial" w:cs="Arial"/>
          <w:sz w:val="24"/>
          <w:szCs w:val="24"/>
        </w:rPr>
        <w:t>Infektionsprävention im Rahmen der Pflege und Behandlung von Patienten mit übertragbaren Krankheiten Empfehlung der Kommission für Krankenhaushygiene und Infektionsprävention (KRINKO) beim Robert Koch-Institut</w:t>
      </w:r>
    </w:p>
    <w:p w:rsidR="00A55977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5977" w:rsidRDefault="00A55977" w:rsidP="00A559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Umsetzung der Gefährdungsbeurteilung erfolgt vor Aufnahme durch die Pflegedienstleitung.</w:t>
      </w:r>
    </w:p>
    <w:p w:rsidR="00CB3A6C" w:rsidRPr="00A55977" w:rsidRDefault="00CB3A6C" w:rsidP="00A55977"/>
    <w:sectPr w:rsidR="00CB3A6C" w:rsidRPr="00A559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EAF"/>
    <w:multiLevelType w:val="hybridMultilevel"/>
    <w:tmpl w:val="0CCC5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C76E3"/>
    <w:multiLevelType w:val="hybridMultilevel"/>
    <w:tmpl w:val="C818C096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5FB2110"/>
    <w:multiLevelType w:val="hybridMultilevel"/>
    <w:tmpl w:val="79B2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C2936"/>
    <w:multiLevelType w:val="hybridMultilevel"/>
    <w:tmpl w:val="5128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A55977"/>
    <w:rsid w:val="00CB3A6C"/>
    <w:rsid w:val="00D4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59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2019-04-20T11:11:00Z</cp:lastPrinted>
  <dcterms:created xsi:type="dcterms:W3CDTF">2019-04-20T11:17:00Z</dcterms:created>
  <dcterms:modified xsi:type="dcterms:W3CDTF">2019-04-20T11:17:00Z</dcterms:modified>
</cp:coreProperties>
</file>