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tblLook w:val="04A0" w:firstRow="1" w:lastRow="0" w:firstColumn="1" w:lastColumn="0" w:noHBand="0" w:noVBand="1"/>
      </w:tblPr>
      <w:tblGrid>
        <w:gridCol w:w="7792"/>
        <w:gridCol w:w="1270"/>
      </w:tblGrid>
      <w:tr w:rsidR="0072715D" w:rsidTr="00E751F5">
        <w:tc>
          <w:tcPr>
            <w:tcW w:w="7792" w:type="dxa"/>
          </w:tcPr>
          <w:p w:rsidR="0072715D" w:rsidRPr="00032DE4" w:rsidRDefault="0072715D" w:rsidP="00E751F5">
            <w:pPr>
              <w:rPr>
                <w:rFonts w:ascii="Arial" w:eastAsia="Droid Sans Fallback" w:hAnsi="Arial" w:cs="Lohit Hindi"/>
                <w:kern w:val="3"/>
                <w:sz w:val="24"/>
                <w:szCs w:val="24"/>
                <w:lang w:eastAsia="zh-CN" w:bidi="hi-IN"/>
              </w:rPr>
            </w:pPr>
            <w:r w:rsidRPr="005661ED">
              <w:rPr>
                <w:rFonts w:ascii="Arial" w:hAnsi="Arial" w:cs="Arial"/>
                <w:sz w:val="24"/>
                <w:szCs w:val="24"/>
              </w:rPr>
              <w:t>Suprapubische Katheter</w:t>
            </w:r>
          </w:p>
        </w:tc>
        <w:tc>
          <w:tcPr>
            <w:tcW w:w="1270" w:type="dxa"/>
          </w:tcPr>
          <w:p w:rsidR="0072715D" w:rsidRDefault="0072715D" w:rsidP="00E751F5">
            <w:pPr>
              <w:jc w:val="center"/>
              <w:rPr>
                <w:rFonts w:ascii="Arial" w:hAnsi="Arial" w:cs="Arial"/>
                <w:sz w:val="24"/>
                <w:szCs w:val="24"/>
              </w:rPr>
            </w:pPr>
            <w:r>
              <w:rPr>
                <w:rFonts w:ascii="Arial" w:hAnsi="Arial" w:cs="Arial"/>
                <w:sz w:val="24"/>
                <w:szCs w:val="24"/>
              </w:rPr>
              <w:t>O2R11.3</w:t>
            </w:r>
          </w:p>
        </w:tc>
      </w:tr>
    </w:tbl>
    <w:p w:rsidR="0072715D" w:rsidRDefault="0072715D" w:rsidP="0072715D">
      <w:pPr>
        <w:spacing w:after="0"/>
        <w:jc w:val="both"/>
        <w:rPr>
          <w:rFonts w:ascii="Arial" w:hAnsi="Arial" w:cs="Arial"/>
          <w:sz w:val="24"/>
          <w:szCs w:val="24"/>
        </w:rPr>
      </w:pPr>
      <w:bookmarkStart w:id="0" w:name="_GoBack"/>
      <w:bookmarkEnd w:id="0"/>
    </w:p>
    <w:p w:rsidR="0072715D" w:rsidRDefault="0072715D" w:rsidP="0072715D">
      <w:pPr>
        <w:jc w:val="both"/>
        <w:rPr>
          <w:rFonts w:ascii="Arial" w:hAnsi="Arial" w:cs="Arial"/>
          <w:sz w:val="24"/>
          <w:szCs w:val="24"/>
        </w:rPr>
      </w:pPr>
      <w:r w:rsidRPr="00B13100">
        <w:rPr>
          <w:rFonts w:ascii="Arial" w:hAnsi="Arial" w:cs="Arial"/>
          <w:sz w:val="24"/>
          <w:szCs w:val="24"/>
        </w:rPr>
        <w:t>Die Anlage eines suprapubischen Katheters ist ein ärztlicher Eingriff. Ein Vorteil des suprapubischen Katheters liegt in der geringeren Keimbesiedelung der Bauchhaut im Vergleich zum Meatus urethrae. Zwar kommt es bei längerer Liegedauer auc</w:t>
      </w:r>
      <w:r>
        <w:rPr>
          <w:rFonts w:ascii="Arial" w:hAnsi="Arial" w:cs="Arial"/>
          <w:sz w:val="24"/>
          <w:szCs w:val="24"/>
        </w:rPr>
        <w:t>h hier zu einer Bakteriurie</w:t>
      </w:r>
      <w:r w:rsidRPr="00B13100">
        <w:rPr>
          <w:rFonts w:ascii="Arial" w:hAnsi="Arial" w:cs="Arial"/>
          <w:sz w:val="24"/>
          <w:szCs w:val="24"/>
        </w:rPr>
        <w:t xml:space="preserve">, jedoch ist das Keimspektrum in der Regel das der Hautflora und nicht, wie beim transurethralen Katheter, das der problembehafteten Perianalflora. </w:t>
      </w:r>
    </w:p>
    <w:p w:rsidR="0072715D" w:rsidRPr="00B13100" w:rsidRDefault="0072715D" w:rsidP="0072715D">
      <w:pPr>
        <w:jc w:val="both"/>
        <w:rPr>
          <w:rFonts w:ascii="Arial" w:hAnsi="Arial" w:cs="Arial"/>
          <w:sz w:val="24"/>
          <w:szCs w:val="24"/>
        </w:rPr>
      </w:pPr>
      <w:r w:rsidRPr="00B13100">
        <w:rPr>
          <w:rFonts w:ascii="Arial" w:hAnsi="Arial" w:cs="Arial"/>
          <w:sz w:val="24"/>
          <w:szCs w:val="24"/>
        </w:rPr>
        <w:t>Weitere Vorteile sind die einfache Pflege der Eintrittsstelle, die zuverlässige Vermeidung von Urethrastrikturen und subvesikalenulären Infektionen (wie Orchitis, Epididymitis u. a.) sowie die problemlose Kontrolle der Spontanmiktion und des Restharns.</w:t>
      </w:r>
    </w:p>
    <w:p w:rsidR="003F2BE2" w:rsidRPr="0072715D" w:rsidRDefault="0072715D" w:rsidP="0072715D">
      <w:r w:rsidRPr="00B13100">
        <w:rPr>
          <w:rFonts w:ascii="Arial" w:hAnsi="Arial" w:cs="Arial"/>
          <w:sz w:val="24"/>
          <w:szCs w:val="24"/>
        </w:rPr>
        <w:t>Eine tägliche Inspektion der Einstichstelle ist erforderlich, um eine Infektion an der Eintrittsstelle rechtzeitig zu erkennen. In der Regel kann die Punktionsstelle bei lange liegendem suprapubischen Katheter offen gelassen werden oder bedarf lediglich der Bedec</w:t>
      </w:r>
      <w:r>
        <w:rPr>
          <w:rFonts w:ascii="Arial" w:hAnsi="Arial" w:cs="Arial"/>
          <w:sz w:val="24"/>
          <w:szCs w:val="24"/>
        </w:rPr>
        <w:t>kung durch ein kleines Pflaster.</w:t>
      </w:r>
    </w:p>
    <w:sectPr w:rsidR="003F2BE2" w:rsidRPr="0072715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A6C"/>
    <w:rsid w:val="000335A9"/>
    <w:rsid w:val="000D2A43"/>
    <w:rsid w:val="000F5053"/>
    <w:rsid w:val="000F5890"/>
    <w:rsid w:val="00107F85"/>
    <w:rsid w:val="001205B9"/>
    <w:rsid w:val="00151324"/>
    <w:rsid w:val="0015282A"/>
    <w:rsid w:val="001C6FAA"/>
    <w:rsid w:val="00201E2B"/>
    <w:rsid w:val="00252038"/>
    <w:rsid w:val="002C541A"/>
    <w:rsid w:val="002F2E02"/>
    <w:rsid w:val="003C1EC6"/>
    <w:rsid w:val="003F2BE2"/>
    <w:rsid w:val="0042321D"/>
    <w:rsid w:val="004F5847"/>
    <w:rsid w:val="00511BE2"/>
    <w:rsid w:val="006140C7"/>
    <w:rsid w:val="006164F9"/>
    <w:rsid w:val="006A5205"/>
    <w:rsid w:val="0072715D"/>
    <w:rsid w:val="007A483C"/>
    <w:rsid w:val="008A5343"/>
    <w:rsid w:val="008B7CED"/>
    <w:rsid w:val="00914206"/>
    <w:rsid w:val="0097326A"/>
    <w:rsid w:val="009D16E0"/>
    <w:rsid w:val="009E113A"/>
    <w:rsid w:val="00A05754"/>
    <w:rsid w:val="00A2430F"/>
    <w:rsid w:val="00A26D50"/>
    <w:rsid w:val="00A51658"/>
    <w:rsid w:val="00A55977"/>
    <w:rsid w:val="00B74126"/>
    <w:rsid w:val="00CB3A6C"/>
    <w:rsid w:val="00D06553"/>
    <w:rsid w:val="00D45F89"/>
    <w:rsid w:val="00D906D2"/>
    <w:rsid w:val="00EF3A00"/>
    <w:rsid w:val="00F3054E"/>
    <w:rsid w:val="00F81B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DE558-2743-4821-8F4E-408DD76B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2715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CB3A6C"/>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B3A6C"/>
    <w:pPr>
      <w:ind w:left="720"/>
      <w:contextualSpacing/>
    </w:pPr>
  </w:style>
  <w:style w:type="table" w:customStyle="1" w:styleId="Tabellenraster2">
    <w:name w:val="Tabellenraster2"/>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201E2B"/>
    <w:pPr>
      <w:spacing w:after="285" w:line="240" w:lineRule="auto"/>
    </w:pPr>
    <w:rPr>
      <w:rFonts w:ascii="Trebuchet MS" w:eastAsia="Times New Roman" w:hAnsi="Trebuchet MS"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863</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cp:lastPrinted>2019-04-20T15:47:00Z</cp:lastPrinted>
  <dcterms:created xsi:type="dcterms:W3CDTF">2019-04-20T16:04:00Z</dcterms:created>
  <dcterms:modified xsi:type="dcterms:W3CDTF">2019-04-20T16:04:00Z</dcterms:modified>
</cp:coreProperties>
</file>