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23"/>
        <w:tblW w:w="0" w:type="auto"/>
        <w:tblLook w:val="04A0" w:firstRow="1" w:lastRow="0" w:firstColumn="1" w:lastColumn="0" w:noHBand="0" w:noVBand="1"/>
      </w:tblPr>
      <w:tblGrid>
        <w:gridCol w:w="7792"/>
        <w:gridCol w:w="1270"/>
      </w:tblGrid>
      <w:tr w:rsidR="00714B15" w:rsidRPr="00714B15" w:rsidTr="00E751F5">
        <w:tc>
          <w:tcPr>
            <w:tcW w:w="7792" w:type="dxa"/>
          </w:tcPr>
          <w:p w:rsidR="00714B15" w:rsidRPr="00714B15" w:rsidRDefault="00714B15" w:rsidP="00714B15">
            <w:pPr>
              <w:rPr>
                <w:rFonts w:ascii="Arial" w:hAnsi="Arial" w:cs="Arial"/>
                <w:sz w:val="24"/>
                <w:szCs w:val="24"/>
              </w:rPr>
            </w:pPr>
            <w:r w:rsidRPr="00714B15">
              <w:rPr>
                <w:rFonts w:ascii="Arial" w:hAnsi="Arial" w:cs="Arial"/>
                <w:sz w:val="24"/>
                <w:szCs w:val="24"/>
              </w:rPr>
              <w:t>Anlage Information Wäschereinigung und Aufbereitung von Betten in Heimen mit MRSA</w:t>
            </w:r>
          </w:p>
        </w:tc>
        <w:tc>
          <w:tcPr>
            <w:tcW w:w="1270" w:type="dxa"/>
          </w:tcPr>
          <w:p w:rsidR="00714B15" w:rsidRPr="00714B15" w:rsidRDefault="00714B15" w:rsidP="00714B15">
            <w:pPr>
              <w:jc w:val="center"/>
              <w:rPr>
                <w:rFonts w:ascii="Arial" w:hAnsi="Arial" w:cs="Arial"/>
                <w:sz w:val="24"/>
                <w:szCs w:val="24"/>
              </w:rPr>
            </w:pPr>
            <w:r w:rsidRPr="00714B15">
              <w:rPr>
                <w:rFonts w:ascii="Arial" w:hAnsi="Arial" w:cs="Arial"/>
                <w:sz w:val="24"/>
                <w:szCs w:val="24"/>
              </w:rPr>
              <w:t>O2R13.1</w:t>
            </w:r>
          </w:p>
        </w:tc>
      </w:tr>
    </w:tbl>
    <w:p w:rsidR="00714B15" w:rsidRPr="00714B15" w:rsidRDefault="00714B15" w:rsidP="00714B15">
      <w:pPr>
        <w:spacing w:after="0"/>
        <w:jc w:val="both"/>
        <w:rPr>
          <w:rFonts w:ascii="Arial" w:hAnsi="Arial" w:cs="Arial"/>
          <w:sz w:val="24"/>
          <w:szCs w:val="24"/>
        </w:rPr>
      </w:pPr>
      <w:bookmarkStart w:id="0" w:name="_GoBack"/>
      <w:bookmarkEnd w:id="0"/>
    </w:p>
    <w:p w:rsidR="00714B15" w:rsidRPr="00714B15" w:rsidRDefault="00714B15" w:rsidP="00714B15">
      <w:pPr>
        <w:spacing w:after="0"/>
        <w:jc w:val="both"/>
        <w:rPr>
          <w:rFonts w:ascii="Arial" w:hAnsi="Arial" w:cs="Arial"/>
          <w:sz w:val="24"/>
          <w:szCs w:val="24"/>
        </w:rPr>
      </w:pPr>
      <w:r w:rsidRPr="00714B15">
        <w:rPr>
          <w:rFonts w:ascii="Arial" w:hAnsi="Arial" w:cs="Arial"/>
          <w:sz w:val="24"/>
          <w:szCs w:val="24"/>
        </w:rPr>
        <w:t xml:space="preserve">Betten- und  Wäscheaufbereitung Obwohl in einigen Berichten auch Bettwäsche und der Umgang mit dieser als eine mögliche Quelle für die Verbreitung von Infektionserregern in Krankenhäusern angesehen </w:t>
      </w:r>
      <w:proofErr w:type="gramStart"/>
      <w:r w:rsidRPr="00714B15">
        <w:rPr>
          <w:rFonts w:ascii="Arial" w:hAnsi="Arial" w:cs="Arial"/>
          <w:sz w:val="24"/>
          <w:szCs w:val="24"/>
        </w:rPr>
        <w:t>wird</w:t>
      </w:r>
      <w:proofErr w:type="gramEnd"/>
      <w:r w:rsidRPr="00714B15">
        <w:rPr>
          <w:rFonts w:ascii="Arial" w:hAnsi="Arial" w:cs="Arial"/>
          <w:sz w:val="24"/>
          <w:szCs w:val="24"/>
        </w:rPr>
        <w:t xml:space="preserve">, liegen für den Bereich der Heime diesbezüglich keine Erfahrungen vor. </w:t>
      </w:r>
    </w:p>
    <w:p w:rsidR="00714B15" w:rsidRPr="00714B15" w:rsidRDefault="00714B15" w:rsidP="00714B15">
      <w:pPr>
        <w:spacing w:after="0"/>
        <w:jc w:val="both"/>
        <w:rPr>
          <w:rFonts w:ascii="Arial" w:hAnsi="Arial" w:cs="Arial"/>
          <w:sz w:val="24"/>
          <w:szCs w:val="24"/>
        </w:rPr>
      </w:pPr>
    </w:p>
    <w:p w:rsidR="00714B15" w:rsidRPr="00714B15" w:rsidRDefault="00714B15" w:rsidP="00714B15">
      <w:pPr>
        <w:spacing w:after="0"/>
        <w:jc w:val="both"/>
        <w:rPr>
          <w:rFonts w:ascii="Arial" w:hAnsi="Arial" w:cs="Arial"/>
          <w:sz w:val="24"/>
          <w:szCs w:val="24"/>
        </w:rPr>
      </w:pPr>
      <w:r w:rsidRPr="00714B15">
        <w:rPr>
          <w:rFonts w:ascii="Arial" w:hAnsi="Arial" w:cs="Arial"/>
          <w:sz w:val="24"/>
          <w:szCs w:val="24"/>
        </w:rPr>
        <w:t xml:space="preserve">Dennoch erscheint es sinnvoll, bei Vorliegen bestimmter Risikofaktoren eine desinfizierende Aufbereitung der Betten vorzunehmen. Die Aufbereitung von Matratzen wird erheblich erleichtert durch die Verwendung eines Schutzbezuges, der atmungsaktiv und desinfektionsmittelbeständig ist. </w:t>
      </w:r>
    </w:p>
    <w:p w:rsidR="00714B15" w:rsidRPr="00714B15" w:rsidRDefault="00714B15" w:rsidP="00714B15">
      <w:pPr>
        <w:spacing w:after="0"/>
        <w:jc w:val="both"/>
        <w:rPr>
          <w:rFonts w:ascii="Arial" w:hAnsi="Arial" w:cs="Arial"/>
          <w:sz w:val="24"/>
          <w:szCs w:val="24"/>
        </w:rPr>
      </w:pPr>
    </w:p>
    <w:p w:rsidR="00714B15" w:rsidRPr="00714B15" w:rsidRDefault="00714B15" w:rsidP="00714B15">
      <w:pPr>
        <w:spacing w:after="0"/>
        <w:jc w:val="both"/>
        <w:rPr>
          <w:rFonts w:ascii="Arial" w:hAnsi="Arial" w:cs="Arial"/>
          <w:sz w:val="24"/>
          <w:szCs w:val="24"/>
        </w:rPr>
      </w:pPr>
      <w:r w:rsidRPr="00714B15">
        <w:rPr>
          <w:rFonts w:ascii="Arial" w:hAnsi="Arial" w:cs="Arial"/>
          <w:sz w:val="24"/>
          <w:szCs w:val="24"/>
        </w:rPr>
        <w:t xml:space="preserve">Da die Bettwäsche in der Regel nicht bewohnerbezogen verwendet wird und eine Mischung der Wäsche während des Aufbereitungsprozesses stattfindet, muss ein desinfizierendes Verfahren gewählt werden (z. B. Kochwäsche oder Waschen bei 60°C und Verwendung eines desinfizierenden Waschmittels). Bewohnereigene Wäsche (z. B. Kleidung) kann in der Regel wie Wäsche im Privathaushalt gewaschen werden. Während eines Ausbruchs von Erkrankungen mit Erregern, die durch Kontakt übertragen werden, sowie bei Personen mit bekannter MRSA-Kolonisation wird empfohlen, Leibwäsche, Handtücher und Waschlappen wie Bettwäsche der betroffenen Bewohner desinfizierend zu waschen. </w:t>
      </w:r>
    </w:p>
    <w:p w:rsidR="00714B15" w:rsidRPr="00714B15" w:rsidRDefault="00714B15" w:rsidP="00714B15">
      <w:pPr>
        <w:spacing w:after="0"/>
        <w:jc w:val="both"/>
        <w:rPr>
          <w:rFonts w:ascii="Arial" w:hAnsi="Arial" w:cs="Arial"/>
          <w:sz w:val="24"/>
          <w:szCs w:val="24"/>
        </w:rPr>
      </w:pPr>
    </w:p>
    <w:p w:rsidR="00714B15" w:rsidRPr="00714B15" w:rsidRDefault="00714B15" w:rsidP="00714B15">
      <w:pPr>
        <w:spacing w:after="0"/>
        <w:jc w:val="both"/>
        <w:rPr>
          <w:rFonts w:ascii="Arial" w:hAnsi="Arial" w:cs="Arial"/>
          <w:sz w:val="24"/>
          <w:szCs w:val="24"/>
        </w:rPr>
      </w:pPr>
      <w:r w:rsidRPr="00714B15">
        <w:rPr>
          <w:rFonts w:ascii="Arial" w:hAnsi="Arial" w:cs="Arial"/>
          <w:sz w:val="24"/>
          <w:szCs w:val="24"/>
        </w:rPr>
        <w:t>Die Entsorgung der Wäsche erfolgt unmittelbar am Bett in geeignete Wäschesäcke, die bis zur endgültigen Entsorgung an einem dafür vorgesehenen Ort zwischengelagert werden können.</w:t>
      </w:r>
    </w:p>
    <w:p w:rsidR="00714B15" w:rsidRPr="00714B15" w:rsidRDefault="00714B15" w:rsidP="00714B15">
      <w:pPr>
        <w:spacing w:after="0"/>
        <w:jc w:val="both"/>
        <w:rPr>
          <w:rFonts w:ascii="Arial" w:hAnsi="Arial" w:cs="Arial"/>
          <w:sz w:val="24"/>
          <w:szCs w:val="24"/>
        </w:rPr>
      </w:pPr>
    </w:p>
    <w:tbl>
      <w:tblPr>
        <w:tblStyle w:val="Tabellenraster23"/>
        <w:tblW w:w="0" w:type="auto"/>
        <w:tblLook w:val="04A0" w:firstRow="1" w:lastRow="0" w:firstColumn="1" w:lastColumn="0" w:noHBand="0" w:noVBand="1"/>
      </w:tblPr>
      <w:tblGrid>
        <w:gridCol w:w="2265"/>
        <w:gridCol w:w="2265"/>
        <w:gridCol w:w="2266"/>
        <w:gridCol w:w="2266"/>
      </w:tblGrid>
      <w:tr w:rsidR="00714B15" w:rsidRPr="00714B15" w:rsidTr="00E751F5">
        <w:tc>
          <w:tcPr>
            <w:tcW w:w="9062" w:type="dxa"/>
            <w:gridSpan w:val="4"/>
          </w:tcPr>
          <w:p w:rsidR="00714B15" w:rsidRPr="00714B15" w:rsidRDefault="00714B15" w:rsidP="00714B15">
            <w:pPr>
              <w:jc w:val="both"/>
              <w:rPr>
                <w:rFonts w:ascii="Arial" w:hAnsi="Arial" w:cs="Arial"/>
                <w:b/>
              </w:rPr>
            </w:pPr>
            <w:r w:rsidRPr="00714B15">
              <w:rPr>
                <w:rFonts w:ascii="Arial" w:hAnsi="Arial" w:cs="Arial"/>
                <w:b/>
              </w:rPr>
              <w:t>Aufbereitung von Betten in Heimen</w:t>
            </w:r>
          </w:p>
        </w:tc>
      </w:tr>
      <w:tr w:rsidR="00714B15" w:rsidRPr="00714B15" w:rsidTr="00E751F5">
        <w:tc>
          <w:tcPr>
            <w:tcW w:w="2265" w:type="dxa"/>
          </w:tcPr>
          <w:p w:rsidR="00714B15" w:rsidRPr="00714B15" w:rsidRDefault="00714B15" w:rsidP="00714B15">
            <w:pPr>
              <w:jc w:val="both"/>
              <w:rPr>
                <w:rFonts w:ascii="Arial" w:hAnsi="Arial" w:cs="Arial"/>
                <w:b/>
                <w:sz w:val="20"/>
                <w:szCs w:val="20"/>
              </w:rPr>
            </w:pPr>
            <w:r w:rsidRPr="00714B15">
              <w:rPr>
                <w:rFonts w:ascii="Arial" w:hAnsi="Arial" w:cs="Arial"/>
                <w:b/>
                <w:sz w:val="20"/>
                <w:szCs w:val="20"/>
              </w:rPr>
              <w:t>Aufbereitung</w:t>
            </w:r>
          </w:p>
        </w:tc>
        <w:tc>
          <w:tcPr>
            <w:tcW w:w="2265" w:type="dxa"/>
          </w:tcPr>
          <w:p w:rsidR="00714B15" w:rsidRPr="00714B15" w:rsidRDefault="00714B15" w:rsidP="00714B15">
            <w:pPr>
              <w:jc w:val="both"/>
              <w:rPr>
                <w:rFonts w:ascii="Arial" w:hAnsi="Arial" w:cs="Arial"/>
                <w:b/>
                <w:sz w:val="20"/>
                <w:szCs w:val="20"/>
              </w:rPr>
            </w:pPr>
            <w:r w:rsidRPr="00714B15">
              <w:rPr>
                <w:rFonts w:ascii="Arial" w:hAnsi="Arial" w:cs="Arial"/>
                <w:b/>
                <w:sz w:val="20"/>
                <w:szCs w:val="20"/>
              </w:rPr>
              <w:t>Gestell</w:t>
            </w:r>
          </w:p>
        </w:tc>
        <w:tc>
          <w:tcPr>
            <w:tcW w:w="2266" w:type="dxa"/>
          </w:tcPr>
          <w:p w:rsidR="00714B15" w:rsidRPr="00714B15" w:rsidRDefault="00714B15" w:rsidP="00714B15">
            <w:pPr>
              <w:jc w:val="both"/>
              <w:rPr>
                <w:rFonts w:ascii="Arial" w:hAnsi="Arial" w:cs="Arial"/>
                <w:b/>
                <w:sz w:val="20"/>
                <w:szCs w:val="20"/>
              </w:rPr>
            </w:pPr>
            <w:r w:rsidRPr="00714B15">
              <w:rPr>
                <w:rFonts w:ascii="Arial" w:hAnsi="Arial" w:cs="Arial"/>
                <w:b/>
                <w:sz w:val="20"/>
                <w:szCs w:val="20"/>
              </w:rPr>
              <w:t>Matratze</w:t>
            </w:r>
          </w:p>
        </w:tc>
        <w:tc>
          <w:tcPr>
            <w:tcW w:w="2266" w:type="dxa"/>
          </w:tcPr>
          <w:p w:rsidR="00714B15" w:rsidRPr="00714B15" w:rsidRDefault="00714B15" w:rsidP="00714B15">
            <w:pPr>
              <w:jc w:val="both"/>
              <w:rPr>
                <w:rFonts w:ascii="Arial" w:hAnsi="Arial" w:cs="Arial"/>
                <w:b/>
                <w:sz w:val="20"/>
                <w:szCs w:val="20"/>
              </w:rPr>
            </w:pPr>
            <w:r w:rsidRPr="00714B15">
              <w:rPr>
                <w:rFonts w:ascii="Arial" w:hAnsi="Arial" w:cs="Arial"/>
                <w:b/>
                <w:sz w:val="20"/>
                <w:szCs w:val="20"/>
              </w:rPr>
              <w:t>Bettzeug</w:t>
            </w:r>
          </w:p>
        </w:tc>
      </w:tr>
      <w:tr w:rsidR="00714B15" w:rsidRPr="00714B15" w:rsidTr="00E751F5">
        <w:tc>
          <w:tcPr>
            <w:tcW w:w="2265" w:type="dxa"/>
          </w:tcPr>
          <w:p w:rsidR="00714B15" w:rsidRPr="00714B15" w:rsidRDefault="00714B15" w:rsidP="00714B15">
            <w:pPr>
              <w:rPr>
                <w:rFonts w:ascii="Arial" w:hAnsi="Arial" w:cs="Arial"/>
                <w:b/>
                <w:sz w:val="20"/>
                <w:szCs w:val="20"/>
              </w:rPr>
            </w:pPr>
            <w:r w:rsidRPr="00714B15">
              <w:rPr>
                <w:rFonts w:ascii="Arial" w:hAnsi="Arial" w:cs="Arial"/>
                <w:b/>
                <w:sz w:val="20"/>
                <w:szCs w:val="20"/>
              </w:rPr>
              <w:t>Routine</w:t>
            </w:r>
          </w:p>
        </w:tc>
        <w:tc>
          <w:tcPr>
            <w:tcW w:w="2265" w:type="dxa"/>
          </w:tcPr>
          <w:p w:rsidR="00714B15" w:rsidRPr="00714B15" w:rsidRDefault="00714B15" w:rsidP="00714B15">
            <w:pPr>
              <w:rPr>
                <w:rFonts w:ascii="Arial" w:hAnsi="Arial" w:cs="Arial"/>
                <w:sz w:val="20"/>
                <w:szCs w:val="20"/>
              </w:rPr>
            </w:pPr>
            <w:r w:rsidRPr="00714B15">
              <w:rPr>
                <w:rFonts w:ascii="Arial" w:hAnsi="Arial" w:cs="Arial"/>
                <w:sz w:val="20"/>
                <w:szCs w:val="20"/>
              </w:rPr>
              <w:t>Reinigung in regelmäßigen Intervallen und bei Verschmutzung</w:t>
            </w:r>
          </w:p>
          <w:p w:rsidR="00714B15" w:rsidRPr="00714B15" w:rsidRDefault="00714B15" w:rsidP="00714B15">
            <w:pPr>
              <w:rPr>
                <w:rFonts w:ascii="Arial" w:hAnsi="Arial" w:cs="Arial"/>
                <w:sz w:val="20"/>
                <w:szCs w:val="20"/>
              </w:rPr>
            </w:pPr>
          </w:p>
        </w:tc>
        <w:tc>
          <w:tcPr>
            <w:tcW w:w="2266" w:type="dxa"/>
          </w:tcPr>
          <w:p w:rsidR="00714B15" w:rsidRPr="00714B15" w:rsidRDefault="00714B15" w:rsidP="00714B15">
            <w:pPr>
              <w:rPr>
                <w:rFonts w:ascii="Arial" w:hAnsi="Arial" w:cs="Arial"/>
                <w:sz w:val="20"/>
                <w:szCs w:val="20"/>
              </w:rPr>
            </w:pPr>
            <w:r w:rsidRPr="00714B15">
              <w:rPr>
                <w:rFonts w:ascii="Arial" w:hAnsi="Arial" w:cs="Arial"/>
                <w:sz w:val="20"/>
                <w:szCs w:val="20"/>
              </w:rPr>
              <w:t>Aufbereitung in der Regel  nicht erforderlich  Reinigung bei Verschmutzung</w:t>
            </w:r>
          </w:p>
        </w:tc>
        <w:tc>
          <w:tcPr>
            <w:tcW w:w="2266" w:type="dxa"/>
          </w:tcPr>
          <w:p w:rsidR="00714B15" w:rsidRPr="00714B15" w:rsidRDefault="00714B15" w:rsidP="00714B15">
            <w:pPr>
              <w:rPr>
                <w:rFonts w:ascii="Arial" w:hAnsi="Arial" w:cs="Arial"/>
                <w:sz w:val="20"/>
                <w:szCs w:val="20"/>
              </w:rPr>
            </w:pPr>
            <w:r w:rsidRPr="00714B15">
              <w:rPr>
                <w:rFonts w:ascii="Arial" w:hAnsi="Arial" w:cs="Arial"/>
                <w:sz w:val="20"/>
                <w:szCs w:val="20"/>
              </w:rPr>
              <w:t>Aufbereitung in der Regel nicht erforderlich. Tausch bei Verschmutzung.</w:t>
            </w:r>
          </w:p>
        </w:tc>
      </w:tr>
      <w:tr w:rsidR="00714B15" w:rsidRPr="00714B15" w:rsidTr="00E751F5">
        <w:tc>
          <w:tcPr>
            <w:tcW w:w="2265" w:type="dxa"/>
          </w:tcPr>
          <w:p w:rsidR="00714B15" w:rsidRPr="00714B15" w:rsidRDefault="00714B15" w:rsidP="00714B15">
            <w:pPr>
              <w:rPr>
                <w:rFonts w:ascii="Arial" w:hAnsi="Arial" w:cs="Arial"/>
                <w:b/>
                <w:sz w:val="20"/>
                <w:szCs w:val="20"/>
              </w:rPr>
            </w:pPr>
            <w:r w:rsidRPr="00714B15">
              <w:rPr>
                <w:rFonts w:ascii="Arial" w:hAnsi="Arial" w:cs="Arial"/>
                <w:b/>
                <w:sz w:val="20"/>
                <w:szCs w:val="20"/>
              </w:rPr>
              <w:t>Kontamination mit  infektiösem Material</w:t>
            </w:r>
          </w:p>
        </w:tc>
        <w:tc>
          <w:tcPr>
            <w:tcW w:w="2265" w:type="dxa"/>
          </w:tcPr>
          <w:p w:rsidR="00714B15" w:rsidRPr="00714B15" w:rsidRDefault="00714B15" w:rsidP="00714B15">
            <w:pPr>
              <w:rPr>
                <w:rFonts w:ascii="Arial" w:hAnsi="Arial" w:cs="Arial"/>
                <w:sz w:val="20"/>
                <w:szCs w:val="20"/>
              </w:rPr>
            </w:pPr>
            <w:r w:rsidRPr="00714B15">
              <w:rPr>
                <w:rFonts w:ascii="Arial" w:hAnsi="Arial" w:cs="Arial"/>
                <w:sz w:val="20"/>
                <w:szCs w:val="20"/>
              </w:rPr>
              <w:t>Wischdesinfektion</w:t>
            </w:r>
          </w:p>
        </w:tc>
        <w:tc>
          <w:tcPr>
            <w:tcW w:w="2266" w:type="dxa"/>
          </w:tcPr>
          <w:p w:rsidR="00714B15" w:rsidRPr="00714B15" w:rsidRDefault="00714B15" w:rsidP="00714B15">
            <w:pPr>
              <w:rPr>
                <w:rFonts w:ascii="Arial" w:hAnsi="Arial" w:cs="Arial"/>
                <w:sz w:val="20"/>
                <w:szCs w:val="20"/>
              </w:rPr>
            </w:pPr>
            <w:r w:rsidRPr="00714B15">
              <w:rPr>
                <w:rFonts w:ascii="Arial" w:hAnsi="Arial" w:cs="Arial"/>
                <w:sz w:val="20"/>
                <w:szCs w:val="20"/>
              </w:rPr>
              <w:t xml:space="preserve">Desinfektion, bei </w:t>
            </w:r>
            <w:proofErr w:type="spellStart"/>
            <w:r w:rsidRPr="00714B15">
              <w:rPr>
                <w:rFonts w:ascii="Arial" w:hAnsi="Arial" w:cs="Arial"/>
                <w:sz w:val="20"/>
                <w:szCs w:val="20"/>
              </w:rPr>
              <w:t>Ver</w:t>
            </w:r>
            <w:proofErr w:type="spellEnd"/>
            <w:r w:rsidRPr="00714B15">
              <w:rPr>
                <w:rFonts w:ascii="Arial" w:hAnsi="Arial" w:cs="Arial"/>
                <w:sz w:val="20"/>
                <w:szCs w:val="20"/>
              </w:rPr>
              <w:t>-wendung eines desinfektionsmittel-beständigen Schonbezuges Wischdesinfektion</w:t>
            </w:r>
          </w:p>
        </w:tc>
        <w:tc>
          <w:tcPr>
            <w:tcW w:w="2266" w:type="dxa"/>
          </w:tcPr>
          <w:p w:rsidR="00714B15" w:rsidRPr="00714B15" w:rsidRDefault="00714B15" w:rsidP="00714B15">
            <w:pPr>
              <w:rPr>
                <w:rFonts w:ascii="Arial" w:hAnsi="Arial" w:cs="Arial"/>
                <w:sz w:val="20"/>
                <w:szCs w:val="20"/>
              </w:rPr>
            </w:pPr>
            <w:r w:rsidRPr="00714B15">
              <w:rPr>
                <w:rFonts w:ascii="Arial" w:hAnsi="Arial" w:cs="Arial"/>
                <w:sz w:val="20"/>
                <w:szCs w:val="20"/>
              </w:rPr>
              <w:t xml:space="preserve">Desinfektion (thermisch oder </w:t>
            </w:r>
            <w:proofErr w:type="spellStart"/>
            <w:r w:rsidRPr="00714B15">
              <w:rPr>
                <w:rFonts w:ascii="Arial" w:hAnsi="Arial" w:cs="Arial"/>
                <w:sz w:val="20"/>
                <w:szCs w:val="20"/>
              </w:rPr>
              <w:t>chemo</w:t>
            </w:r>
            <w:proofErr w:type="spellEnd"/>
            <w:r w:rsidRPr="00714B15">
              <w:rPr>
                <w:rFonts w:ascii="Arial" w:hAnsi="Arial" w:cs="Arial"/>
                <w:sz w:val="20"/>
                <w:szCs w:val="20"/>
              </w:rPr>
              <w:t>-thermisch)</w:t>
            </w:r>
          </w:p>
        </w:tc>
      </w:tr>
      <w:tr w:rsidR="00714B15" w:rsidRPr="00714B15" w:rsidTr="00E751F5">
        <w:tc>
          <w:tcPr>
            <w:tcW w:w="2265" w:type="dxa"/>
          </w:tcPr>
          <w:p w:rsidR="00714B15" w:rsidRPr="00714B15" w:rsidRDefault="00714B15" w:rsidP="00714B15">
            <w:pPr>
              <w:rPr>
                <w:rFonts w:ascii="Arial" w:hAnsi="Arial" w:cs="Arial"/>
                <w:b/>
                <w:sz w:val="20"/>
                <w:szCs w:val="20"/>
              </w:rPr>
            </w:pPr>
            <w:r w:rsidRPr="00714B15">
              <w:rPr>
                <w:rFonts w:ascii="Arial" w:hAnsi="Arial" w:cs="Arial"/>
                <w:b/>
                <w:sz w:val="20"/>
                <w:szCs w:val="20"/>
              </w:rPr>
              <w:t>Wechsel des Nutzers/ Bewohners ohne besonderes Risiko</w:t>
            </w:r>
          </w:p>
        </w:tc>
        <w:tc>
          <w:tcPr>
            <w:tcW w:w="2265" w:type="dxa"/>
          </w:tcPr>
          <w:p w:rsidR="00714B15" w:rsidRPr="00714B15" w:rsidRDefault="00714B15" w:rsidP="00714B15">
            <w:pPr>
              <w:rPr>
                <w:rFonts w:ascii="Arial" w:hAnsi="Arial" w:cs="Arial"/>
                <w:sz w:val="20"/>
                <w:szCs w:val="20"/>
              </w:rPr>
            </w:pPr>
            <w:r w:rsidRPr="00714B15">
              <w:rPr>
                <w:rFonts w:ascii="Arial" w:hAnsi="Arial" w:cs="Arial"/>
                <w:sz w:val="20"/>
                <w:szCs w:val="20"/>
              </w:rPr>
              <w:t>Reinigung</w:t>
            </w:r>
          </w:p>
          <w:p w:rsidR="00714B15" w:rsidRPr="00714B15" w:rsidRDefault="00714B15" w:rsidP="00714B15">
            <w:pPr>
              <w:rPr>
                <w:rFonts w:ascii="Arial" w:hAnsi="Arial" w:cs="Arial"/>
                <w:sz w:val="20"/>
                <w:szCs w:val="20"/>
              </w:rPr>
            </w:pPr>
          </w:p>
          <w:p w:rsidR="00714B15" w:rsidRPr="00714B15" w:rsidRDefault="00714B15" w:rsidP="00714B15">
            <w:pPr>
              <w:rPr>
                <w:rFonts w:ascii="Arial" w:hAnsi="Arial" w:cs="Arial"/>
                <w:sz w:val="20"/>
                <w:szCs w:val="20"/>
              </w:rPr>
            </w:pPr>
          </w:p>
          <w:p w:rsidR="00714B15" w:rsidRPr="00714B15" w:rsidRDefault="00714B15" w:rsidP="00714B15">
            <w:pPr>
              <w:rPr>
                <w:rFonts w:ascii="Arial" w:hAnsi="Arial" w:cs="Arial"/>
                <w:sz w:val="20"/>
                <w:szCs w:val="20"/>
              </w:rPr>
            </w:pPr>
          </w:p>
          <w:p w:rsidR="00714B15" w:rsidRPr="00714B15" w:rsidRDefault="00714B15" w:rsidP="00714B15">
            <w:pPr>
              <w:rPr>
                <w:rFonts w:ascii="Arial" w:hAnsi="Arial" w:cs="Arial"/>
                <w:sz w:val="20"/>
                <w:szCs w:val="20"/>
              </w:rPr>
            </w:pPr>
          </w:p>
          <w:p w:rsidR="00714B15" w:rsidRPr="00714B15" w:rsidRDefault="00714B15" w:rsidP="00714B15">
            <w:pPr>
              <w:rPr>
                <w:rFonts w:ascii="Arial" w:hAnsi="Arial" w:cs="Arial"/>
                <w:sz w:val="20"/>
                <w:szCs w:val="20"/>
              </w:rPr>
            </w:pPr>
          </w:p>
        </w:tc>
        <w:tc>
          <w:tcPr>
            <w:tcW w:w="2266" w:type="dxa"/>
          </w:tcPr>
          <w:p w:rsidR="00714B15" w:rsidRPr="00714B15" w:rsidRDefault="00714B15" w:rsidP="00714B15">
            <w:pPr>
              <w:rPr>
                <w:rFonts w:ascii="Arial" w:hAnsi="Arial" w:cs="Arial"/>
                <w:sz w:val="20"/>
                <w:szCs w:val="20"/>
              </w:rPr>
            </w:pPr>
            <w:r w:rsidRPr="00714B15">
              <w:rPr>
                <w:rFonts w:ascii="Arial" w:hAnsi="Arial" w:cs="Arial"/>
                <w:sz w:val="20"/>
                <w:szCs w:val="20"/>
              </w:rPr>
              <w:t>Reinigung</w:t>
            </w:r>
          </w:p>
        </w:tc>
        <w:tc>
          <w:tcPr>
            <w:tcW w:w="2266" w:type="dxa"/>
          </w:tcPr>
          <w:p w:rsidR="00714B15" w:rsidRPr="00714B15" w:rsidRDefault="00714B15" w:rsidP="00714B15">
            <w:pPr>
              <w:rPr>
                <w:rFonts w:ascii="Arial" w:hAnsi="Arial" w:cs="Arial"/>
                <w:sz w:val="20"/>
                <w:szCs w:val="20"/>
              </w:rPr>
            </w:pPr>
            <w:r w:rsidRPr="00714B15">
              <w:rPr>
                <w:rFonts w:ascii="Arial" w:hAnsi="Arial" w:cs="Arial"/>
                <w:sz w:val="20"/>
                <w:szCs w:val="20"/>
              </w:rPr>
              <w:t>Reinigung</w:t>
            </w:r>
          </w:p>
        </w:tc>
      </w:tr>
      <w:tr w:rsidR="00714B15" w:rsidRPr="00714B15" w:rsidTr="00E751F5">
        <w:tc>
          <w:tcPr>
            <w:tcW w:w="2265" w:type="dxa"/>
          </w:tcPr>
          <w:p w:rsidR="00714B15" w:rsidRPr="00714B15" w:rsidRDefault="00714B15" w:rsidP="00714B15">
            <w:pPr>
              <w:rPr>
                <w:rFonts w:ascii="Arial" w:hAnsi="Arial" w:cs="Arial"/>
                <w:b/>
                <w:sz w:val="20"/>
                <w:szCs w:val="20"/>
              </w:rPr>
            </w:pPr>
            <w:r w:rsidRPr="00714B15">
              <w:rPr>
                <w:rFonts w:ascii="Arial" w:hAnsi="Arial" w:cs="Arial"/>
                <w:b/>
                <w:sz w:val="20"/>
                <w:szCs w:val="20"/>
              </w:rPr>
              <w:t>Wechsel des Nutzers/ Bewohners mit besonderem Risiko</w:t>
            </w:r>
          </w:p>
        </w:tc>
        <w:tc>
          <w:tcPr>
            <w:tcW w:w="2265" w:type="dxa"/>
          </w:tcPr>
          <w:p w:rsidR="00714B15" w:rsidRPr="00714B15" w:rsidRDefault="00714B15" w:rsidP="00714B15">
            <w:pPr>
              <w:rPr>
                <w:rFonts w:ascii="Arial" w:hAnsi="Arial" w:cs="Arial"/>
                <w:sz w:val="20"/>
                <w:szCs w:val="20"/>
              </w:rPr>
            </w:pPr>
            <w:r w:rsidRPr="00714B15">
              <w:rPr>
                <w:rFonts w:ascii="Arial" w:hAnsi="Arial" w:cs="Arial"/>
                <w:sz w:val="20"/>
                <w:szCs w:val="20"/>
              </w:rPr>
              <w:t>Wischdesinfektion</w:t>
            </w:r>
          </w:p>
        </w:tc>
        <w:tc>
          <w:tcPr>
            <w:tcW w:w="2266" w:type="dxa"/>
          </w:tcPr>
          <w:p w:rsidR="00714B15" w:rsidRPr="00714B15" w:rsidRDefault="00714B15" w:rsidP="00714B15">
            <w:pPr>
              <w:rPr>
                <w:rFonts w:ascii="Arial" w:hAnsi="Arial" w:cs="Arial"/>
                <w:sz w:val="20"/>
                <w:szCs w:val="20"/>
              </w:rPr>
            </w:pPr>
            <w:r w:rsidRPr="00714B15">
              <w:rPr>
                <w:rFonts w:ascii="Arial" w:hAnsi="Arial" w:cs="Arial"/>
                <w:sz w:val="20"/>
                <w:szCs w:val="20"/>
              </w:rPr>
              <w:t>Desinfektion, bei Verwendung eines desinfektionsmittel-beständigen Schonbezuges Wischdesinfektion</w:t>
            </w:r>
          </w:p>
        </w:tc>
        <w:tc>
          <w:tcPr>
            <w:tcW w:w="2266" w:type="dxa"/>
          </w:tcPr>
          <w:p w:rsidR="00714B15" w:rsidRPr="00714B15" w:rsidRDefault="00714B15" w:rsidP="00714B15">
            <w:pPr>
              <w:rPr>
                <w:rFonts w:ascii="Arial" w:hAnsi="Arial" w:cs="Arial"/>
                <w:sz w:val="20"/>
                <w:szCs w:val="20"/>
              </w:rPr>
            </w:pPr>
            <w:r w:rsidRPr="00714B15">
              <w:rPr>
                <w:rFonts w:ascii="Arial" w:hAnsi="Arial" w:cs="Arial"/>
                <w:sz w:val="20"/>
                <w:szCs w:val="20"/>
              </w:rPr>
              <w:t xml:space="preserve">Desinfektion (thermisch oder </w:t>
            </w:r>
            <w:proofErr w:type="spellStart"/>
            <w:r w:rsidRPr="00714B15">
              <w:rPr>
                <w:rFonts w:ascii="Arial" w:hAnsi="Arial" w:cs="Arial"/>
                <w:sz w:val="20"/>
                <w:szCs w:val="20"/>
              </w:rPr>
              <w:t>chemo</w:t>
            </w:r>
            <w:proofErr w:type="spellEnd"/>
            <w:r w:rsidRPr="00714B15">
              <w:rPr>
                <w:rFonts w:ascii="Arial" w:hAnsi="Arial" w:cs="Arial"/>
                <w:sz w:val="20"/>
                <w:szCs w:val="20"/>
              </w:rPr>
              <w:t>-thermisch)</w:t>
            </w:r>
          </w:p>
        </w:tc>
      </w:tr>
    </w:tbl>
    <w:p w:rsidR="00714B15" w:rsidRPr="00714B15" w:rsidRDefault="00714B15" w:rsidP="00714B15">
      <w:pPr>
        <w:spacing w:after="0"/>
        <w:jc w:val="both"/>
        <w:rPr>
          <w:rFonts w:ascii="Arial" w:hAnsi="Arial" w:cs="Arial"/>
          <w:sz w:val="24"/>
          <w:szCs w:val="24"/>
        </w:rPr>
      </w:pPr>
    </w:p>
    <w:sectPr w:rsidR="00714B15" w:rsidRPr="00714B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2C85"/>
    <w:rsid w:val="000335A9"/>
    <w:rsid w:val="00085691"/>
    <w:rsid w:val="000B5DF3"/>
    <w:rsid w:val="000D2A43"/>
    <w:rsid w:val="000F2068"/>
    <w:rsid w:val="000F5053"/>
    <w:rsid w:val="000F5890"/>
    <w:rsid w:val="00107F85"/>
    <w:rsid w:val="001205B9"/>
    <w:rsid w:val="00151324"/>
    <w:rsid w:val="0015282A"/>
    <w:rsid w:val="001C6FAA"/>
    <w:rsid w:val="00201E2B"/>
    <w:rsid w:val="0022580B"/>
    <w:rsid w:val="00237E0B"/>
    <w:rsid w:val="00252038"/>
    <w:rsid w:val="00266363"/>
    <w:rsid w:val="002C541A"/>
    <w:rsid w:val="002C7F2F"/>
    <w:rsid w:val="002F2E02"/>
    <w:rsid w:val="0032264B"/>
    <w:rsid w:val="00377240"/>
    <w:rsid w:val="003C1EC6"/>
    <w:rsid w:val="003F2BE2"/>
    <w:rsid w:val="0042321D"/>
    <w:rsid w:val="004436EC"/>
    <w:rsid w:val="004E5F64"/>
    <w:rsid w:val="004F5847"/>
    <w:rsid w:val="00511BE2"/>
    <w:rsid w:val="005F7FF6"/>
    <w:rsid w:val="006140C7"/>
    <w:rsid w:val="006164F9"/>
    <w:rsid w:val="006A5205"/>
    <w:rsid w:val="006E20E2"/>
    <w:rsid w:val="00714B15"/>
    <w:rsid w:val="0072715D"/>
    <w:rsid w:val="00772088"/>
    <w:rsid w:val="007A483C"/>
    <w:rsid w:val="008840C7"/>
    <w:rsid w:val="00892DFE"/>
    <w:rsid w:val="008A5343"/>
    <w:rsid w:val="008B7CED"/>
    <w:rsid w:val="00914206"/>
    <w:rsid w:val="0097326A"/>
    <w:rsid w:val="009D16E0"/>
    <w:rsid w:val="009E113A"/>
    <w:rsid w:val="00A05754"/>
    <w:rsid w:val="00A2430F"/>
    <w:rsid w:val="00A26D50"/>
    <w:rsid w:val="00A51658"/>
    <w:rsid w:val="00A55977"/>
    <w:rsid w:val="00AF7E88"/>
    <w:rsid w:val="00B74126"/>
    <w:rsid w:val="00C76377"/>
    <w:rsid w:val="00CB3A6C"/>
    <w:rsid w:val="00D06553"/>
    <w:rsid w:val="00D13407"/>
    <w:rsid w:val="00D45F89"/>
    <w:rsid w:val="00D4610A"/>
    <w:rsid w:val="00D906D2"/>
    <w:rsid w:val="00ED072D"/>
    <w:rsid w:val="00EF3A00"/>
    <w:rsid w:val="00F0182D"/>
    <w:rsid w:val="00F3054E"/>
    <w:rsid w:val="00F81B5F"/>
    <w:rsid w:val="00F977BE"/>
    <w:rsid w:val="00FA5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77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E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89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88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39"/>
    <w:rsid w:val="00FA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raster"/>
    <w:uiPriority w:val="39"/>
    <w:rsid w:val="0044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raster"/>
    <w:uiPriority w:val="39"/>
    <w:rsid w:val="00C7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39"/>
    <w:rsid w:val="00D4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71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2019-04-20T17:19:00Z</dcterms:created>
  <dcterms:modified xsi:type="dcterms:W3CDTF">2019-04-20T17:19:00Z</dcterms:modified>
</cp:coreProperties>
</file>